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中国资本市场量化CTA策略深度研究报告：理论体系、实现机制与市场动态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摘要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本报告旨在全面、深入地剖析中国资本市场（特别是A股衍生品及大宗商品期货市场）中的量化CTA（Commodity Trading Advisor）策略。作为一种在国际市场上历经数十年验证、在中国市场快速崛起的投资策略，量化CTA以其独特的“危机阿尔法”属性、与传统股债资产的低相关性以及多空双向交易的灵活性，成为了机构投资者资产配置中不可或缺的一环。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报告全长约15,000字，将从量化CTA的理论基础出发，详细拆解其核心获利逻辑与策略分类；深入探讨策略实现的工程细节，包括数据处理、连续合约构建、因子挖掘、信号生成、组合构建及风控体系；并结合2018年至2023年的市场数据，对策略的周期性表现、近期回撤原因及未来演进趋势进行详尽分析。报告特别关注了高频数据（Tick/Level-2）的应用、机器学习在因子挖掘中的前沿探索以及IT基础设施（如CTP接口、FPGA）在实盘交易中的关键作用，力求为专业投资者提供一份极具参考价值的行业白皮书。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第一章 量化CTA策略综述与中国市场生态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 量化CTA策略的定义与核心内涵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量化CTA（Quantitative Commodity Trading Advisor），即量化管理期货策略，是指主要通过计算机程序对期货市场（包括商品期货和金融期货）的历史交易数据（如价格、成交量、持仓量等）及基本面数据进行统计分析，构建数学模型以识别市场趋势或定价偏差，并自动发出买卖信号进行程序化交易的投资方式。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中国市场语境下，“量化CTA”虽然沿用了西方的称谓，但其内涵已扩展至涵盖所有在中国期货交易所上市的衍生品工具。这不仅包括上海期货交易所（SHFE）、大连商品交易所（DCE）、郑州商品交易所（CZCE）、广州期货交易所（GFEX）上市的有色金属、能化、黑色、农产品等商品期货，更核心地包含了在中国金融期货交易所（CFFEX）上市的股指期货（IF、IC、IH、IM）和国债期货（T、TF、TS）。因此，量化CTA策略与A股市场有着千丝万缕的联系——它既是A股市场风险对冲的工具，也是利用A股指数波动获取绝对收益的重要手段。</w:t>
      </w:r>
    </w:p>
    <w:p w:rsidR="00000000" w:rsidDel="00000000" w:rsidP="00000000" w:rsidRDefault="00000000" w:rsidRPr="00000000" w14:paraId="0000000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1.1.1 核心获利逻辑：波动率与非线性收益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量化CTA策略的本质是“做多波动率”（Long Volatility）。与股票多头策略依赖资产价格上涨（即Beta收益）不同，CTA策略通过多空双向交易机制，理论上可以在市场上涨或下跌的单边行情中均获取收益。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凸性收益（Convexity/Gamma）：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典型的趋势跟踪策略具有正凸性特征。在市场波动率较低的震荡期，策略可能会因频繁试错而产生小额亏损（磨损成本）；然而，一旦市场出现极端风险事件（如2008年金融危机、2015年股灾、2020年疫情爆发），波动率迅速放大，趋势变得显著，CTA策略往往能捕捉到巨大的单边行情，从而获得超额收益。这种特性使其被称为投资组合的“防空洞”或“危机阿尔法”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低相关性：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长期统计数据显示，CTA策略与股票、债券等传统资产类别的相关性通常低于0.2。这种低相关性并非意味着“负相关”，而是指其收益来源的驱动因子（动量、期限结构等）与宏观经济增长因子并不重叠。这使得CTA在多资产配置中具有极高的分散化价值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0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1.2 中国期货市场的结构特征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理解中国量化CTA的实现，必须首先理解其独特的市场微观结构。</w:t>
      </w:r>
    </w:p>
    <w:p w:rsidR="00000000" w:rsidDel="00000000" w:rsidP="00000000" w:rsidRDefault="00000000" w:rsidRPr="00000000" w14:paraId="0000000F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交易所格局：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五大交易所构成了完整的衍生品体系。上期所的铜、原油，大商所的铁矿石、豆粕，郑商所的PTA、甲醇，中金所的沪深300（IF）、中证500（IC）、中证1000（IM）股指期货，提供了丰富的标的池。</w:t>
      </w:r>
    </w:p>
    <w:p w:rsidR="00000000" w:rsidDel="00000000" w:rsidP="00000000" w:rsidRDefault="00000000" w:rsidRPr="00000000" w14:paraId="0000001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投资者结构：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尽管近年来机构化程度提高，但中国期货市场仍保留了相当比例的个人投资者（散户）。散户交易行为中的“追涨杀跌”、“处置效应”（过早止盈、死扛亏损）等非理性行为，为量化策略提供了丰富的Alpha来源，尤其是在中短期趋势和反转策略上。</w:t>
      </w:r>
    </w:p>
    <w:p w:rsidR="00000000" w:rsidDel="00000000" w:rsidP="00000000" w:rsidRDefault="00000000" w:rsidRPr="00000000" w14:paraId="00000011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交易机制限制：</w:t>
      </w:r>
    </w:p>
    <w:p w:rsidR="00000000" w:rsidDel="00000000" w:rsidP="00000000" w:rsidRDefault="00000000" w:rsidRPr="00000000" w14:paraId="00000012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T+0交易：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允许日内回转交易，这为高频CTA策略提供了土壤。</w:t>
      </w:r>
    </w:p>
    <w:p w:rsidR="00000000" w:rsidDel="00000000" w:rsidP="00000000" w:rsidRDefault="00000000" w:rsidRPr="00000000" w14:paraId="00000013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涨跌停板与熔断：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中国市场的涨跌停板制度会导致流动性在极端行情下瞬间枯竭，这对量化策略的风控模块提出了极高要求。</w:t>
      </w:r>
    </w:p>
    <w:p w:rsidR="00000000" w:rsidDel="00000000" w:rsidP="00000000" w:rsidRDefault="00000000" w:rsidRPr="00000000" w14:paraId="00000014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手续费结构：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不同品种的平今仓手续费差异巨大（如股指期货平今仓手续费曾大幅上调），直接影响策略的换手率设计。</w:t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第二章 策略分类体系与数学原理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量化CTA策略并非铁板一块，而是由多种逻辑各异的子策略构成的集合。根据信号来源和持仓周期，可将其构建为一个多维度的分类体系。</w:t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 趋势跟踪策略（Trend Following）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这是CTA领域最古老、资金容量最大、也是最核心的策略类型。其基本信仰是“市场价格会沿着阻力最小的方向运动”，即“强者恒强，弱者恒弱”。</w:t>
      </w:r>
    </w:p>
    <w:p w:rsidR="00000000" w:rsidDel="00000000" w:rsidP="00000000" w:rsidRDefault="00000000" w:rsidRPr="00000000" w14:paraId="0000001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2.1.1 时间序列动量（Time Series Momentum, TSMOM）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不同于股票市场中常用的横截面动量（Cross-Sectional Momentum，即买入表现最好的，卖出表现最差的），CTA更倾向于使用时间序列动量。该策略关注单一资产自身的历史表现。</w:t>
      </w:r>
    </w:p>
    <w:p w:rsidR="00000000" w:rsidDel="00000000" w:rsidP="00000000" w:rsidRDefault="00000000" w:rsidRPr="00000000" w14:paraId="0000001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数学表达：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设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74204" cy="232272"/>
            <wp:effectExtent b="0" l="0" r="0" t="0"/>
            <wp:docPr id="4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204" cy="2322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为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66601" cy="228345"/>
            <wp:effectExtent b="0" l="0" r="0" t="0"/>
            <wp:docPr id="6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01" cy="2283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时刻的价格，策略在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66601" cy="228345"/>
            <wp:effectExtent b="0" l="0" r="0" t="0"/>
            <wp:docPr id="5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601" cy="2283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时刻的信号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68920" cy="225227"/>
            <wp:effectExtent b="0" l="0" r="0" t="0"/>
            <wp:docPr id="8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20" cy="2252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可以表示为：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33237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323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其中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367531" cy="226173"/>
            <wp:effectExtent b="0" l="0" r="0" t="0"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531" cy="2261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是过去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01947" cy="222430"/>
            <wp:effectExtent b="0" l="0" r="0" t="0"/>
            <wp:docPr id="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47" cy="2224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期的收益率。更复杂的模型会引入波动率调整：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474814"/>
            <wp:effectExtent b="0" l="0" r="0" t="0"/>
            <wp:docPr id="1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748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其中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303014" cy="217791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3014" cy="2177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是过去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01947" cy="222430"/>
            <wp:effectExtent b="0" l="0" r="0" t="0"/>
            <wp:docPr id="1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947" cy="2224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期的平均收益率，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268337" cy="230003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337" cy="2300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是同期的波动率。通过除以波动率，模型将不同波动特性的品种（如波动剧烈的原油和波动平缓的国债）标准化，使其信号具有可比性。</w:t>
      </w:r>
    </w:p>
    <w:p w:rsidR="00000000" w:rsidDel="00000000" w:rsidP="00000000" w:rsidRDefault="00000000" w:rsidRPr="00000000" w14:paraId="0000001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2.1.2 均线交叉与突破系统</w:t>
      </w:r>
    </w:p>
    <w:p w:rsidR="00000000" w:rsidDel="00000000" w:rsidP="00000000" w:rsidRDefault="00000000" w:rsidRPr="00000000" w14:paraId="0000001D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双均线系统（Dual Moving Average）：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利用快线（如10日均线）上穿慢线（如60日均线）作为买入信号。这本质上是一个带通滤波器，过滤掉高频噪声，保留低频趋势。</w:t>
      </w:r>
    </w:p>
    <w:p w:rsidR="00000000" w:rsidDel="00000000" w:rsidP="00000000" w:rsidRDefault="00000000" w:rsidRPr="00000000" w14:paraId="0000001E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通道突破（Donchian Channel/Bollinger Bands）：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当价格突破过去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68175" cy="224234"/>
            <wp:effectExtent b="0" l="0" r="0" t="0"/>
            <wp:docPr id="14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175" cy="2242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天的最高价时做多。这种逻辑在商品期货的大级别趋势中（如2016年的黑色系行情）表现尤为出色。</w:t>
      </w:r>
    </w:p>
    <w:p w:rsidR="00000000" w:rsidDel="00000000" w:rsidP="00000000" w:rsidRDefault="00000000" w:rsidRPr="00000000" w14:paraId="0000001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2.1.3 周期分类</w:t>
      </w:r>
    </w:p>
    <w:p w:rsidR="00000000" w:rsidDel="00000000" w:rsidP="00000000" w:rsidRDefault="00000000" w:rsidRPr="00000000" w14:paraId="00000020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长周期（Long-Term）：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持仓数周至数月。优点是容量大、滑点影响小；缺点是回撤周期长，胜率通常较低（30%-40%），依赖少数几次大行情覆盖成本。</w:t>
      </w:r>
    </w:p>
    <w:p w:rsidR="00000000" w:rsidDel="00000000" w:rsidP="00000000" w:rsidRDefault="00000000" w:rsidRPr="00000000" w14:paraId="00000021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中短周期（Medium/Short-Term）：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持仓数小时至数天。优点是反应灵敏，能捕捉日内波段；缺点是对交易成本敏感，容量有限。近年由于市场有效性提升，纯长周期策略表现疲软，管理人纷纷向中短周期转型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 均值回归策略（Mean Reversion）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基于“物极必反”的哲学，认为价格偏离均值过大时必然回归。</w:t>
      </w:r>
    </w:p>
    <w:p w:rsidR="00000000" w:rsidDel="00000000" w:rsidP="00000000" w:rsidRDefault="00000000" w:rsidRPr="00000000" w14:paraId="00000024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统计套利（Statistical Arbitrage）：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利用相关性极高的两个品种（如螺纹钢与热卷、豆油与棕榈油）的价差（Spread）进行交易。当价差突破历史统计区间的2个标准差时，做空价差；回归均值时平仓。</w:t>
      </w:r>
    </w:p>
    <w:p w:rsidR="00000000" w:rsidDel="00000000" w:rsidP="00000000" w:rsidRDefault="00000000" w:rsidRPr="00000000" w14:paraId="00000025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期限结构套利（Term Structure Arbitrage）：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利用同一品种不同月份合约之间的价差。例如，买入近月合约、卖出远月合约（正套），博取价差收敛或扩大的收益。</w:t>
      </w:r>
    </w:p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2.3 基本面量化策略（Fundamental Quant）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随着纯价量因子的拥挤，越来越多的机构引入基本面数据。</w:t>
      </w:r>
    </w:p>
    <w:p w:rsidR="00000000" w:rsidDel="00000000" w:rsidP="00000000" w:rsidRDefault="00000000" w:rsidRPr="00000000" w14:paraId="00000028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期限结构因子（Carry）：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商品期货的远期曲线（Forward Curve）包含了市场对供需的预期。</w:t>
      </w:r>
    </w:p>
    <w:p w:rsidR="00000000" w:rsidDel="00000000" w:rsidP="00000000" w:rsidRDefault="00000000" w:rsidRPr="00000000" w14:paraId="00000029">
      <w:pPr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Backwardation（现货溢价）：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近月价格 &gt; 远月价格。此时做多并持有至交割月，随着远月价格向现货价格靠拢（Roll Up），可获得正收益（Roll Yield）。</w:t>
      </w:r>
    </w:p>
    <w:p w:rsidR="00000000" w:rsidDel="00000000" w:rsidP="00000000" w:rsidRDefault="00000000" w:rsidRPr="00000000" w14:paraId="0000002A">
      <w:pPr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Contango（期货溢价）：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近月价格 &lt; 远月价格。此时做空可获得Roll Yield。</w:t>
      </w:r>
    </w:p>
    <w:p w:rsidR="00000000" w:rsidDel="00000000" w:rsidP="00000000" w:rsidRDefault="00000000" w:rsidRPr="00000000" w14:paraId="0000002B">
      <w:pPr>
        <w:numPr>
          <w:ilvl w:val="1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计算公式：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459453"/>
            <wp:effectExtent b="0" l="0" r="0" t="0"/>
            <wp:docPr id="1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594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策略倾向于做多Carry最高（深度Backwardation）的品种，做空Carry最低（深度Contango）的品种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2C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库存与基差因子：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利用高频库存数据（如钢材社会库存）和基差（现货价格-期货价格）作为领先指标。高库存通常预示价格下跌，高基差通常预示期货价格补涨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2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2.4 高频策略（High-Frequency Trading, HFT）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利用Tick级数据和微观结构特征。</w:t>
      </w:r>
    </w:p>
    <w:p w:rsidR="00000000" w:rsidDel="00000000" w:rsidP="00000000" w:rsidRDefault="00000000" w:rsidRPr="00000000" w14:paraId="0000002F">
      <w:pPr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盘口非均衡（Order Book Imbalance, OBI）：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计算买一量与卖一量的比值。若买单瞬间堆积，预示价格向上跳动的概率增加。</w:t>
      </w:r>
    </w:p>
    <w:p w:rsidR="00000000" w:rsidDel="00000000" w:rsidP="00000000" w:rsidRDefault="00000000" w:rsidRPr="00000000" w14:paraId="00000030">
      <w:pPr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做市策略（Market Making）：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在买一和卖一同时挂单，赚取买卖价差（Bid-Ask Spread），并利用速度优势在价格剧烈变动前撤单。</w:t>
      </w:r>
    </w:p>
    <w:p w:rsidR="00000000" w:rsidDel="00000000" w:rsidP="00000000" w:rsidRDefault="00000000" w:rsidRPr="00000000" w14:paraId="0000003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第三章 量化CTA策略的实现方法：从数据到信号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本章将深入技术细节，详述如何从零构建一个量化CTA系统。这是原用户请求中“实现方法”的核心部分。</w:t>
      </w:r>
    </w:p>
    <w:p w:rsidR="00000000" w:rsidDel="00000000" w:rsidP="00000000" w:rsidRDefault="00000000" w:rsidRPr="00000000" w14:paraId="0000003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 数据工程：地基的构建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量化CTA的生命线是数据。在中国市场，数据处理面临着独特的挑战。</w:t>
      </w:r>
    </w:p>
    <w:p w:rsidR="00000000" w:rsidDel="00000000" w:rsidP="00000000" w:rsidRDefault="00000000" w:rsidRPr="00000000" w14:paraId="0000003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3.1.1 连续合约的构建（Continuous Contract Construction）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期货合约具有到期日（Expiration Date）。例如，“螺纹钢2305”合约在2023年5月交割后即摘牌。若要回测一个跨度10年的策略，必须将不同月份的主力合约“拼接”成一个连续的时间序列。</w:t>
      </w:r>
    </w:p>
    <w:p w:rsidR="00000000" w:rsidDel="00000000" w:rsidP="00000000" w:rsidRDefault="00000000" w:rsidRPr="00000000" w14:paraId="00000037">
      <w:pPr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主力合约切换规则（Roll Over Logic）：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通常选择持仓量（Open Interest, OI）最大的合约作为主力合约。当远月合约的持仓量连续N天超过当前主力合约时，系统判定主力切换，进行换月。</w:t>
      </w:r>
    </w:p>
    <w:p w:rsidR="00000000" w:rsidDel="00000000" w:rsidP="00000000" w:rsidRDefault="00000000" w:rsidRPr="00000000" w14:paraId="00000038">
      <w:pPr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缺口处理（Gap Adjustment）：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换月时，新旧合约价格通常不同（存在升贴水），直接拼接会导致价格跳空，严重失真技术指标（如均线会突然断裂）。</w:t>
      </w:r>
    </w:p>
    <w:p w:rsidR="00000000" w:rsidDel="00000000" w:rsidP="00000000" w:rsidRDefault="00000000" w:rsidRPr="00000000" w14:paraId="00000039">
      <w:pPr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价差复权（Pan-zheng/Difference Adjustment）：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343058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43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优点：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保持了价格的绝对波幅，适合计算盈亏点数。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缺点：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可能导致历史价格出现负值（如原油期货），影响基于比例的指标（如百分比回撤）。</w:t>
      </w:r>
    </w:p>
    <w:p w:rsidR="00000000" w:rsidDel="00000000" w:rsidP="00000000" w:rsidRDefault="00000000" w:rsidRPr="00000000" w14:paraId="0000003A">
      <w:pPr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比例复权（Fu-quan/Ratio Adjustment）：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343058"/>
            <wp:effectExtent b="0" l="0" r="0" t="0"/>
            <wp:docPr id="1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430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优点：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保持了每日收益率（%）不变，是回测收益率曲线的标准方法。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i w:val="1"/>
          <w:iCs w:val="1"/>
          <w:color w:val="1f1f1f"/>
          <w:rtl w:val="0"/>
        </w:rPr>
        <w:t xml:space="preserve">缺点：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改变了价格的绝对水平。</w:t>
      </w:r>
    </w:p>
    <w:p w:rsidR="00000000" w:rsidDel="00000000" w:rsidP="00000000" w:rsidRDefault="00000000" w:rsidRPr="00000000" w14:paraId="0000003B">
      <w:pPr>
        <w:numPr>
          <w:ilvl w:val="1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实现建议：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在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信号生成阶段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（计算MA、RSI等），推荐使用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比例复权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数据，以保证指标逻辑的一致性；在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回测撮合阶段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，必须使用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原始不复权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数据（Raw Data），因为实际交易是按交易所挂牌价进行的，必须模拟真实的“平旧仓、开新仓”过程及其产生的滑点和手续费。</w:t>
      </w:r>
    </w:p>
    <w:p w:rsidR="00000000" w:rsidDel="00000000" w:rsidP="00000000" w:rsidRDefault="00000000" w:rsidRPr="00000000" w14:paraId="0000003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3.1.2 数据清洗与清洗</w:t>
      </w:r>
    </w:p>
    <w:p w:rsidR="00000000" w:rsidDel="00000000" w:rsidP="00000000" w:rsidRDefault="00000000" w:rsidRPr="00000000" w14:paraId="0000003D">
      <w:pPr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异常值剔除：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期货Tick数据中常出现错价（如价格瞬间跳变为0或涨停价后瞬间拉回），需通过统计滤波器（如MAD法）剔除。</w:t>
      </w:r>
    </w:p>
    <w:p w:rsidR="00000000" w:rsidDel="00000000" w:rsidP="00000000" w:rsidRDefault="00000000" w:rsidRPr="00000000" w14:paraId="0000003E">
      <w:pPr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夜盘处理：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中国期货市场有夜盘（21:00-02:30），且不同品种夜盘收盘时间不同。系统需正确处理交易日（Trading Day）与自然日（Calendar Day）的映射，避免K线生成错误。</w:t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 因子挖掘与信号生成</w:t>
      </w:r>
    </w:p>
    <w:p w:rsidR="00000000" w:rsidDel="00000000" w:rsidP="00000000" w:rsidRDefault="00000000" w:rsidRPr="00000000" w14:paraId="0000004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3.2.1 传统价量因子</w:t>
      </w:r>
    </w:p>
    <w:p w:rsidR="00000000" w:rsidDel="00000000" w:rsidP="00000000" w:rsidRDefault="00000000" w:rsidRPr="00000000" w14:paraId="00000041">
      <w:pPr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波动率标准化动量：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计算过去N日的指数移动平均（EMA），并除以ATR（平均真实波幅）。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462944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629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该因子捕捉趋势强度，同时自动适应市场波动率的变化。</w:t>
      </w:r>
    </w:p>
    <w:p w:rsidR="00000000" w:rsidDel="00000000" w:rsidP="00000000" w:rsidRDefault="00000000" w:rsidRPr="00000000" w14:paraId="00000042">
      <w:pPr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海龟法则（Turtle Trading）：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经典的N日高低点突破。尽管简单，但在某些强趋势商品（如纯碱、玻璃）中依然有效。</w:t>
      </w:r>
    </w:p>
    <w:p w:rsidR="00000000" w:rsidDel="00000000" w:rsidP="00000000" w:rsidRDefault="00000000" w:rsidRPr="00000000" w14:paraId="0000004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3.2.2 期限结构因子（Term Structure）</w:t>
      </w:r>
    </w:p>
    <w:p w:rsidR="00000000" w:rsidDel="00000000" w:rsidP="00000000" w:rsidRDefault="00000000" w:rsidRPr="00000000" w14:paraId="00000044">
      <w:pPr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展期收益率（Roll Yield）：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通过获取交易所全品种合约报价，计算主力与次主力的年化价差率。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451073"/>
            <wp:effectExtent b="0" l="0" r="0" t="0"/>
            <wp:docPr id="2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510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策略逻辑：做多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216991" cy="226425"/>
            <wp:effectExtent b="0" l="0" r="0" t="0"/>
            <wp:docPr id="2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991" cy="226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最高的品种组合，做空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216991" cy="226425"/>
            <wp:effectExtent b="0" l="0" r="0" t="0"/>
            <wp:docPr id="2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6991" cy="226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最低的品种组合。这不仅能捕捉Carry收益，往往也顺应了基本面供需缺口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4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3.2.3 微观结构与另类因子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随着竞争加剧，头部机构开始挖掘Level-2数据：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大单资金流：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监控逐笔成交（Tick），筛选出超越一定阈值的主动买单，定义为主力资金流入。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舆情因子：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爬取行业网站（如“我的钢铁网”）的研报和新闻，利用NLP（自然语言处理）技术提取情感分数（Sentiment Score），作为辅助信号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4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 机器学习的应用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线性模型（如回归）难以捕捉市场的非线性特征。目前流行的做法是使用树模型（XGBoost, LightGBM）或深度学习（LSTM, Transformer）：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特征工程：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输入过去N个Tick的量价变化、订单簿深度、买卖压力指标。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标签（Labeling）：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预测未来k个时间步的收益率或价格方向。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防止过拟合：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采用“Purged K-Fold”交叉验证，确保训练集和测试集在时间上隔离，避免未来信息泄露。</w:t>
      </w:r>
    </w:p>
    <w:p w:rsidR="00000000" w:rsidDel="00000000" w:rsidP="00000000" w:rsidRDefault="00000000" w:rsidRPr="00000000" w14:paraId="0000004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第四章 投资组合构建与风控体系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单策略、单品种的风险极大，CTA的核心优势在于多品种、多策略的投资组合。</w:t>
      </w:r>
    </w:p>
    <w:p w:rsidR="00000000" w:rsidDel="00000000" w:rsidP="00000000" w:rsidRDefault="00000000" w:rsidRPr="00000000" w14:paraId="0000005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 组合构建方法</w:t>
      </w:r>
    </w:p>
    <w:p w:rsidR="00000000" w:rsidDel="00000000" w:rsidP="00000000" w:rsidRDefault="00000000" w:rsidRPr="00000000" w14:paraId="0000005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4.1.1 风险平价（Risk Parity / ERC）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这是CTA基金最主流的配置方法。传统的“等金额配置”会导致组合风险集中在高波动品种上（如原油波动率远大于玉米）。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原理：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分配资金使得每个品种对组合总风险的贡献相等。</w:t>
      </w:r>
    </w:p>
    <w:p w:rsidR="00000000" w:rsidDel="00000000" w:rsidP="00000000" w:rsidRDefault="00000000" w:rsidRPr="00000000" w14:paraId="0000005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公式：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332370"/>
            <wp:effectExtent b="0" l="0" r="0" t="0"/>
            <wp:docPr id="2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323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其中 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36996" cy="234851"/>
            <wp:effectExtent b="0" l="0" r="0" t="0"/>
            <wp:docPr id="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996" cy="2348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为权重，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</w:rPr>
        <w:drawing>
          <wp:inline distB="19050" distT="19050" distL="19050" distR="19050">
            <wp:extent cx="111844" cy="223689"/>
            <wp:effectExtent b="0" l="0" r="0" t="0"/>
            <wp:docPr id="2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844" cy="2236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为波动率。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效果：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使得组合在任何市场环境下都不依赖单一品种的表现，收益曲线更加平滑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5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4.1.2 波动率目标管理（Target Volatility）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由于期货自带杠杆（通常10倍左右），直接满仓交易风险不可控。CTA产品通常设定一个目标波动率（如年化15%）。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动态杠杆调整：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05500" cy="445138"/>
            <wp:effectExtent b="0" l="0" r="0" t="0"/>
            <wp:docPr id="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445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当市场平静（实际波动率低）时，模型自动加杠杆，放大微小趋势的收益。</w:t>
      </w:r>
    </w:p>
    <w:p w:rsidR="00000000" w:rsidDel="00000000" w:rsidP="00000000" w:rsidRDefault="00000000" w:rsidRPr="00000000" w14:paraId="0000005A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当市场狂暴（实际波动率高）时，模型自动降杠杆，防止爆仓。这种机制是CTA在危机中生存的关键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8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5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 交易执行与算法</w:t>
      </w:r>
    </w:p>
    <w:p w:rsidR="00000000" w:rsidDel="00000000" w:rsidP="00000000" w:rsidRDefault="00000000" w:rsidRPr="00000000" w14:paraId="0000005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4.2.1 算法交易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TWAP/VWAP：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对于管理规模较大的基金（如百亿私募），一次性下单会产生巨大的冲击成本（Market Impact）。必须使用拆单算法，将大单拆细，并在数分钟内分批执行。</w:t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冰山指令（Iceberg）：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只显示少量挂单，隐藏真实意图。</w:t>
      </w:r>
    </w:p>
    <w:p w:rsidR="00000000" w:rsidDel="00000000" w:rsidP="00000000" w:rsidRDefault="00000000" w:rsidRPr="00000000" w14:paraId="0000005F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4.2.2 交易接口与基础设施</w:t>
      </w:r>
    </w:p>
    <w:p w:rsidR="00000000" w:rsidDel="00000000" w:rsidP="00000000" w:rsidRDefault="00000000" w:rsidRPr="00000000" w14:paraId="0000006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CTP接口：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上期技术开发的CTP（Comprehensive Transaction Platform）是中国期货市场的标准API。程序化交易软件（如vn.py）通过调用CTP的动态链接库（dll/so）连接前置机。</w:t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服务器托管（Co-location）：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为追求毫秒级的速度优势，量化机构将服务器部署在上海张江（上期所机房）或大连河口（大商所机房），通过光纤直连撮合引擎。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FPGA硬件加速：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顶级高频团队开始使用FPGA芯片处理行情解析和风控检查，将延时压缩至微秒级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6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第五章 市场表现复盘与深度洞察 (2018-2023)</w:t>
      </w:r>
    </w:p>
    <w:p w:rsidR="00000000" w:rsidDel="00000000" w:rsidP="00000000" w:rsidRDefault="00000000" w:rsidRPr="00000000" w14:paraId="0000006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5.1 黄金时代 (2018-2020)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在这一时期，商品市场受供给侧改革和全球宏观事件驱动，趋势性极强。</w:t>
      </w:r>
    </w:p>
    <w:p w:rsidR="00000000" w:rsidDel="00000000" w:rsidP="00000000" w:rsidRDefault="00000000" w:rsidRPr="00000000" w14:paraId="0000006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2018年：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贸易摩擦引发市场波动，CTA策略普遍录得正收益，展现出与股市的低相关性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6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2020年：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新冠疫情导致原油跌至负值，随后全球央行放水引发大宗商品暴涨。这种史诗级的“V型”反转后的单边趋势，是趋势跟踪策略的温床，多数CTA产品收益率超过30%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6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5.2 策略失效与回撤 (2021-2023)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然而，市场风格在2021年后发生剧变，导致量化CTA遭遇了史无前例的“至暗时刻”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表 1：2021-2023年CTA回撤原因深度归因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 Text" w:cs="Google Sans Text" w:eastAsia="Google Sans Text" w:hAnsi="Google Sans Text"/>
          <w:b w:val="1"/>
          <w:bCs w:val="1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时间段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市场特征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对策略的影响机理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典型案例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2021年下半年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政策干预下的V型反转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量化模型基于历史数据，假设趋势会延续。当煤炭价格因“缺煤”暴涨后，国家发改委强力调控，价格在一周内腰斩。中长周期趋势策略在高位满仓做多，遭遇“多头踩踏”，模型来不及转向即由于止损线被击穿而巨亏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444746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动力煤、焦煤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2022年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宽幅震荡（Whipsaw）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俄乌冲突导致价格剧烈波动，但缺乏持续性方向。趋势策略在突破时追进，随即价格回调，导致“左右打脸”（Whipsaw），不断磨损本金。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原油、镍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2023年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b w:val="1"/>
                <w:bCs w:val="1"/>
                <w:color w:val="1f1f1f"/>
                <w:shd w:fill="auto" w:val="clear"/>
                <w:rtl w:val="0"/>
              </w:rPr>
              <w:t xml:space="preserve">低波动率（Low Vol）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全球经济衰退预期导致需求疲软，商品价格在一个极窄的区间内波动。波动率是CTA的燃料，缺乏波动导致策略无法覆盖交易成本和冲击成本，全行业陷入亏损 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444746"/>
                <w:sz w:val="24"/>
                <w:szCs w:val="24"/>
                <w:vertAlign w:val="superscript"/>
                <w:rtl w:val="0"/>
              </w:rPr>
              <w:t xml:space="preserve">4</w:t>
            </w: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 Text" w:cs="Google Sans Text" w:eastAsia="Google Sans Text" w:hAnsi="Google Sans Text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 Text" w:cs="Google Sans Text" w:eastAsia="Google Sans Text" w:hAnsi="Google Sans Text"/>
                <w:color w:val="1f1f1f"/>
                <w:shd w:fill="auto" w:val="clear"/>
                <w:rtl w:val="0"/>
              </w:rPr>
              <w:t xml:space="preserve">化工板块</w:t>
            </w:r>
          </w:p>
        </w:tc>
      </w:tr>
    </w:tbl>
    <w:p w:rsidR="00000000" w:rsidDel="00000000" w:rsidP="00000000" w:rsidRDefault="00000000" w:rsidRPr="00000000" w14:paraId="0000007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5.3 行业内卷与策略拥挤</w:t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随着量化私募规模突破万亿，CTA赛道日益拥挤。</w:t>
      </w:r>
    </w:p>
    <w:p w:rsidR="00000000" w:rsidDel="00000000" w:rsidP="00000000" w:rsidRDefault="00000000" w:rsidRPr="00000000" w14:paraId="0000007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同质化竞争：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当几百亿资金同时使用类似的突破因子（如20日新高）时，会在同一秒钟抢单，导致滑点剧增，Alpha迅速衰减。</w:t>
      </w:r>
    </w:p>
    <w:p w:rsidR="00000000" w:rsidDel="00000000" w:rsidP="00000000" w:rsidRDefault="00000000" w:rsidRPr="00000000" w14:paraId="0000007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规模瓶颈：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国内商品期货市场的日均成交额有限（约1-2万亿），难以容纳过大的短线策略资金。这迫使管理人拉长持仓周期，或配置更多的股指期货。</w:t>
      </w:r>
    </w:p>
    <w:p w:rsidR="00000000" w:rsidDel="00000000" w:rsidP="00000000" w:rsidRDefault="00000000" w:rsidRPr="00000000" w14:paraId="0000008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第六章 未来展望与战略建议</w:t>
      </w:r>
    </w:p>
    <w:p w:rsidR="00000000" w:rsidDel="00000000" w:rsidP="00000000" w:rsidRDefault="00000000" w:rsidRPr="00000000" w14:paraId="0000008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6.1 策略演进方向</w:t>
      </w:r>
    </w:p>
    <w:p w:rsidR="00000000" w:rsidDel="00000000" w:rsidP="00000000" w:rsidRDefault="00000000" w:rsidRPr="00000000" w14:paraId="0000008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降频与增频的两极分化：</w:t>
      </w:r>
    </w:p>
    <w:p w:rsidR="00000000" w:rsidDel="00000000" w:rsidP="00000000" w:rsidRDefault="00000000" w:rsidRPr="00000000" w14:paraId="00000083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一方面，为容纳大资金，策略向</w: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基本面量化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转型，利用库存、利润等低频数据捕捉长周期逻辑。</w:t>
      </w:r>
    </w:p>
    <w:p w:rsidR="00000000" w:rsidDel="00000000" w:rsidP="00000000" w:rsidRDefault="00000000" w:rsidRPr="00000000" w14:paraId="00000084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70" w:hanging="360"/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另一方面，为规避拥挤，策略向**超高频（Intraday/Tick）**进化，利用微观结构博弈赚取流动性溢价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8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全品种覆盖：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随着广期所工业硅、碳酸锂的上市，以及未来可能推出的航运指数期货，新品种往往存在较多的无效性和套利机会，是量化CTA的新蓝海。</w:t>
      </w:r>
    </w:p>
    <w:p w:rsidR="00000000" w:rsidDel="00000000" w:rsidP="00000000" w:rsidRDefault="00000000" w:rsidRPr="00000000" w14:paraId="0000008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6.2 资产配置建议</w:t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尽管近两年表现不佳，但CTA作为“资产配置稳定器”的逻辑并未改变。</w:t>
      </w:r>
    </w:p>
    <w:p w:rsidR="00000000" w:rsidDel="00000000" w:rsidP="00000000" w:rsidRDefault="00000000" w:rsidRPr="00000000" w14:paraId="00000088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配置时机：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历史数据表明，CTA策略的收益具有均值回归特性。在经历了长达一年的回撤和横盘后，当前（2024-2025视点）市场的盈亏比可能处于较优位置。</w:t>
      </w:r>
    </w:p>
    <w:p w:rsidR="00000000" w:rsidDel="00000000" w:rsidP="00000000" w:rsidRDefault="00000000" w:rsidRPr="00000000" w14:paraId="0000008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组合意义：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对于持有大量A股多头的投资者，配置CTA并非为了追求单纯的高收益，而是为了在股市系统性风险（如大跌）发生时，利用CTA的危机阿尔法属性对冲下行风险，平滑整体账户的净值曲线 </w:t>
      </w:r>
      <w:r w:rsidDel="00000000" w:rsidR="00000000" w:rsidRPr="00000000">
        <w:rPr>
          <w:rFonts w:ascii="Google Sans Text" w:cs="Google Sans Text" w:eastAsia="Google Sans Text" w:hAnsi="Google Sans Text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8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结论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中国A股市场的量化CTA策略已经走过了草莽时代，进入了精细化、工业化运作的新阶段。它不再仅仅是简单的均线策略，而是一个集成了数学建模、大数据工程、计算机科学与金融微观结构分析的复杂系统。</w:t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对于投资者而言，理解CTA不应局限于其收益率数字，更应理解其背后的“波动率多头”属性。在实现方法上，从连续合约的处理到风险平价的构建，每一个环节的精细程度都决定了最终的超额收益。面对市场的周期性低谷，通过技术迭代（机器学习、另类数据）和策略多元化（加入基本面、截面多空）将是量化机构穿越周期的唯一路径。</w:t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5" w:before="120" w:line="275.9999942779541" w:lineRule="auto"/>
        <w:rPr>
          <w:rFonts w:ascii="Google Sans Text" w:cs="Google Sans Text" w:eastAsia="Google Sans Text" w:hAnsi="Google Sans Text"/>
          <w:color w:val="1f1f1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Google Sans Text" w:cs="Google Sans Text" w:eastAsia="Google Sans Text" w:hAnsi="Google Sans Text"/>
          <w:b w:val="1"/>
          <w:bCs w:val="1"/>
          <w:color w:val="1f1f1f"/>
          <w:rtl w:val="0"/>
        </w:rPr>
        <w:t xml:space="preserve">注：</w:t>
      </w:r>
      <w:r w:rsidDel="00000000" w:rsidR="00000000" w:rsidRPr="00000000">
        <w:rPr>
          <w:rFonts w:ascii="Google Sans Text" w:cs="Google Sans Text" w:eastAsia="Google Sans Text" w:hAnsi="Google Sans Text"/>
          <w:color w:val="1f1f1f"/>
          <w:rtl w:val="0"/>
        </w:rPr>
        <w:t xml:space="preserve"> 本报告所有结论基于截至2023-2024年的市场公开数据与行业研究整理，市场有风险，投资需谨慎。报告中涉及的数学公式与代码逻辑仅为理论示意，实盘应用需考虑具体的交易规则与滑点成本。</w:t>
      </w:r>
    </w:p>
    <w:p w:rsidR="00000000" w:rsidDel="00000000" w:rsidP="00000000" w:rsidRDefault="00000000" w:rsidRPr="00000000" w14:paraId="0000008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Works cited</w:t>
      </w:r>
    </w:p>
    <w:p w:rsidR="00000000" w:rsidDel="00000000" w:rsidP="00000000" w:rsidRDefault="00000000" w:rsidRPr="00000000" w14:paraId="0000008F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CTA策略的长期配置价值如何凸显？2021年CTA策略为啥普遍“吃土 ..., accessed February 10, 2026, </w:t>
      </w:r>
      <w:hyperlink r:id="rId26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https://www.yanglee.com/Research/Details.aspx?i=105725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危机中的保护器丨朱雀基金CTA策略解析, accessed February 10, 2026, </w:t>
      </w:r>
      <w:hyperlink r:id="rId27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https://www.rosefinchfund.com/contents/2023/2/24-c830fe237d8a4bc28a815f7db87fb286.html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如何提升CTA配置的效用？试试风险平价| 新方程投资手记 - 新浪财经, accessed February 10, 2026, </w:t>
      </w:r>
      <w:hyperlink r:id="rId28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https://finance.sina.com.cn/money/fund/fundzmt/2024-08-01/doc-inchcxfu5946225.shtml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太突然！量化CTA策略今年集体“大翻车”！多数投资者观望 - 东方财富, accessed February 10, 2026, </w:t>
      </w:r>
      <w:hyperlink r:id="rId29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https://wap.eastmoney.com/a/202306112748480649.html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accessed January 1, 1970, </w:t>
      </w:r>
      <w:hyperlink r:id="rId30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https://www.guosen.com.cn/gs/research/report_detail.html?id=1023577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accessed January 1, 1970, </w:t>
      </w:r>
      <w:hyperlink r:id="rId31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https://zhuanlan.zhihu.com/p/355157321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accessed January 1, 1970, </w:t>
      </w:r>
      <w:hyperlink r:id="rId32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https://www.shinnytech.com/blog/cta-fundamental/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accessed January 1, 1970, </w:t>
      </w:r>
      <w:hyperlink r:id="rId33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https://zhuanlan.zhihu.com/p/354743260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accessed January 1, 1970, </w:t>
      </w:r>
      <w:hyperlink r:id="rId34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https://www.joinquant.com/view/community/detail/32338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accessed January 1, 1970, </w:t>
      </w:r>
      <w:hyperlink r:id="rId35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https://www.vnpy.com/docs/cn/cta_strategy.html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头部私募预计：量化CTA产品业绩今年有望“均值回归”_中国财富网, accessed February 10, 2026, </w:t>
      </w:r>
      <w:hyperlink r:id="rId36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https://www.cfbond.com/2023/03/06/wap_991007715.html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Google Sans Tex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3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4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8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4" Type="http://schemas.openxmlformats.org/officeDocument/2006/relationships/image" Target="media/image15.png"/><Relationship Id="rId23" Type="http://schemas.openxmlformats.org/officeDocument/2006/relationships/image" Target="media/image2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26" Type="http://schemas.openxmlformats.org/officeDocument/2006/relationships/hyperlink" Target="https://www.yanglee.com/Research/Details.aspx?i=105725" TargetMode="External"/><Relationship Id="rId25" Type="http://schemas.openxmlformats.org/officeDocument/2006/relationships/image" Target="media/image14.png"/><Relationship Id="rId28" Type="http://schemas.openxmlformats.org/officeDocument/2006/relationships/hyperlink" Target="https://finance.sina.com.cn/money/fund/fundzmt/2024-08-01/doc-inchcxfu5946225.shtml" TargetMode="External"/><Relationship Id="rId27" Type="http://schemas.openxmlformats.org/officeDocument/2006/relationships/hyperlink" Target="https://www.rosefinchfund.com/contents/2023/2/24-c830fe237d8a4bc28a815f7db87fb286.html" TargetMode="External"/><Relationship Id="rId5" Type="http://schemas.openxmlformats.org/officeDocument/2006/relationships/styles" Target="styles.xml"/><Relationship Id="rId6" Type="http://schemas.openxmlformats.org/officeDocument/2006/relationships/image" Target="media/image9.png"/><Relationship Id="rId29" Type="http://schemas.openxmlformats.org/officeDocument/2006/relationships/hyperlink" Target="https://wap.eastmoney.com/a/202306112748480649.html" TargetMode="External"/><Relationship Id="rId7" Type="http://schemas.openxmlformats.org/officeDocument/2006/relationships/image" Target="media/image18.png"/><Relationship Id="rId8" Type="http://schemas.openxmlformats.org/officeDocument/2006/relationships/image" Target="media/image17.png"/><Relationship Id="rId31" Type="http://schemas.openxmlformats.org/officeDocument/2006/relationships/hyperlink" Target="https://zhuanlan.zhihu.com/p/355157321" TargetMode="External"/><Relationship Id="rId30" Type="http://schemas.openxmlformats.org/officeDocument/2006/relationships/hyperlink" Target="https://www.guosen.com.cn/gs/research/report_detail.html?id=1023577" TargetMode="External"/><Relationship Id="rId11" Type="http://schemas.openxmlformats.org/officeDocument/2006/relationships/image" Target="media/image16.png"/><Relationship Id="rId33" Type="http://schemas.openxmlformats.org/officeDocument/2006/relationships/hyperlink" Target="https://zhuanlan.zhihu.com/p/354743260" TargetMode="External"/><Relationship Id="rId10" Type="http://schemas.openxmlformats.org/officeDocument/2006/relationships/image" Target="media/image4.png"/><Relationship Id="rId32" Type="http://schemas.openxmlformats.org/officeDocument/2006/relationships/hyperlink" Target="https://www.shinnytech.com/blog/cta-fundamental/" TargetMode="External"/><Relationship Id="rId13" Type="http://schemas.openxmlformats.org/officeDocument/2006/relationships/image" Target="media/image3.png"/><Relationship Id="rId35" Type="http://schemas.openxmlformats.org/officeDocument/2006/relationships/hyperlink" Target="https://www.vnpy.com/docs/cn/cta_strategy.html" TargetMode="External"/><Relationship Id="rId12" Type="http://schemas.openxmlformats.org/officeDocument/2006/relationships/image" Target="media/image10.png"/><Relationship Id="rId34" Type="http://schemas.openxmlformats.org/officeDocument/2006/relationships/hyperlink" Target="https://www.joinquant.com/view/community/detail/32338" TargetMode="External"/><Relationship Id="rId15" Type="http://schemas.openxmlformats.org/officeDocument/2006/relationships/image" Target="media/image19.png"/><Relationship Id="rId14" Type="http://schemas.openxmlformats.org/officeDocument/2006/relationships/image" Target="media/image13.png"/><Relationship Id="rId36" Type="http://schemas.openxmlformats.org/officeDocument/2006/relationships/hyperlink" Target="https://www.cfbond.com/2023/03/06/wap_991007715.html" TargetMode="External"/><Relationship Id="rId17" Type="http://schemas.openxmlformats.org/officeDocument/2006/relationships/image" Target="media/image2.png"/><Relationship Id="rId16" Type="http://schemas.openxmlformats.org/officeDocument/2006/relationships/image" Target="media/image5.png"/><Relationship Id="rId19" Type="http://schemas.openxmlformats.org/officeDocument/2006/relationships/image" Target="media/image1.png"/><Relationship Id="rId1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Relationship Id="rId5" Type="http://schemas.openxmlformats.org/officeDocument/2006/relationships/font" Target="fonts/GoogleSansText-regular.ttf"/><Relationship Id="rId6" Type="http://schemas.openxmlformats.org/officeDocument/2006/relationships/font" Target="fonts/GoogleSansText-bold.ttf"/><Relationship Id="rId7" Type="http://schemas.openxmlformats.org/officeDocument/2006/relationships/font" Target="fonts/GoogleSansText-italic.ttf"/><Relationship Id="rId8" Type="http://schemas.openxmlformats.org/officeDocument/2006/relationships/font" Target="fonts/GoogleSans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